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  <w:pBdr>
          <w:bottom w:val="single" w:sz="8" w:space="4" w:color="4F46E5"/>
        </w:pBdr>
      </w:pPr>
      <w:r>
        <w:rPr>
          <w:rFonts w:ascii="Arial Black" w:hAnsi="Arial Black"/>
          <w:color w:val="4F46E5"/>
          <w:sz w:val="40"/>
        </w:rPr>
        <w:t>OMNIDOC</w:t>
      </w:r>
      <w:r>
        <w:rPr>
          <w:rFonts w:ascii="Arial" w:hAnsi="Arial"/>
          <w:b/>
          <w:color w:val="475569"/>
          <w:sz w:val="21"/>
        </w:rPr>
        <w:br/>
        <w:t>The Unified High-Security Work-Planning &amp; Multi-AI Canvas</w:t>
      </w:r>
    </w:p>
    <w:p>
      <w:pPr>
        <w:spacing w:after="120"/>
        <w:jc w:val="center"/>
      </w:pPr>
      <w:r>
        <w:rPr>
          <w:b/>
          <w:color w:val="475569"/>
          <w:sz w:val="15"/>
        </w:rPr>
        <w:t>EXECUTIVE CLIENT PITCH  |  CONFIDENTIAL  |  VPS SELF-HOSTED ENTERPRISE READY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544"/>
        <w:gridCol w:w="5544"/>
      </w:tblGrid>
      <w:tr>
        <w:tc>
          <w:tcPr>
            <w:tcW w:type="dxa" w:w="6336"/>
            <w:tcMar>
              <w:top w:w="50" w:type="dxa"/>
              <w:bottom w:w="50" w:type="dxa"/>
              <w:left w:w="50" w:type="dxa"/>
              <w:right w:w="150" w:type="dxa"/>
            </w:tcMar>
          </w:tcPr>
          <w:p/>
          <w:p>
            <w:pPr>
              <w:spacing w:before="80" w:after="40"/>
              <w:pBdr>
                <w:bottom w:val="single" w:sz="8" w:space="4" w:color="CCCCCC"/>
              </w:pBdr>
            </w:pPr>
            <w:r>
              <w:rPr>
                <w:b/>
                <w:color w:val="4F46E5"/>
                <w:sz w:val="20"/>
              </w:rPr>
              <w:t>1. The Vision &amp; Unification Moat</w:t>
            </w:r>
          </w:p>
          <w:p>
            <w:r>
              <w:t xml:space="preserve">Modern companies burn hours and licensing costs switching between standard visual documentation, code editors, agile Kanban boards, and calendars. </w:t>
            </w:r>
            <w:r>
              <w:rPr>
                <w:b/>
              </w:rPr>
              <w:t>OmniDoc solves fragmentation</w:t>
            </w:r>
            <w:r>
              <w:t xml:space="preserve"> by nesting all of these visual modules in a single dynamic screen, backed by enterprise-grade security and full data sovereignty.</w:t>
            </w:r>
          </w:p>
          <w:p>
            <w:pPr>
              <w:spacing w:before="160" w:after="40"/>
              <w:pBdr>
                <w:bottom w:val="single" w:sz="8" w:space="4" w:color="CCCCCC"/>
              </w:pBdr>
            </w:pPr>
            <w:r>
              <w:rPr>
                <w:b/>
                <w:color w:val="4F46E5"/>
                <w:sz w:val="20"/>
              </w:rPr>
              <w:t>2. Strategic Architectural Moats</w:t>
            </w: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Git-Backed Persistence: </w:t>
            </w:r>
            <w:r>
              <w:t>Documents are stored as standard Markdown text files inside native Git repositories (GitHub/Gitea). This guarantees zero vendor lock-in, free granular version tracking, branching, and automated backup hooks.</w:t>
            </w: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CRDT Collaboration (&lt;50ms): </w:t>
            </w:r>
            <w:r>
              <w:t>Built-in Yjs real-time document synchronization pushes peer mouse cursors, selection highlights, and edits instantly using a lightweight WebSocket sidecar.</w:t>
            </w: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Multi-Provider Fallback Registry: </w:t>
            </w:r>
            <w:r>
              <w:t>Standard AI prompt queries stream tokens via Server-Sent Events (SSE). If Google Gemini encounters rate limits, queries instantly failover to OpenAI or OpenRouter channels silently.</w:t>
            </w:r>
          </w:p>
          <w:p>
            <w:pPr>
              <w:spacing w:before="160" w:after="40"/>
              <w:pBdr>
                <w:bottom w:val="single" w:sz="8" w:space="4" w:color="CCCCCC"/>
              </w:pBdr>
            </w:pPr>
            <w:r>
              <w:rPr>
                <w:b/>
                <w:color w:val="4F46E5"/>
                <w:sz w:val="20"/>
              </w:rPr>
              <w:t>3. The Unified Canvas Modules</w:t>
            </w: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Visual + Markdown Sync: </w:t>
            </w:r>
            <w:r>
              <w:t>Instant visual rich text editor (Tiptap Engine) synced in real-time side-by-side with a high-fidelity Markdown code editor (Monaco Engine).</w:t>
            </w: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Sticky Kanban Boards: </w:t>
            </w:r>
            <w:r>
              <w:t>Custom board workspaces grouped in columns. Features drag-and-drop animations, sticky color customization, task labels, and team member assignments.</w:t>
            </w: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Digital Scheduling Calendar: </w:t>
            </w:r>
            <w:r>
              <w:t>Full monthly interactive layout calendar that enables dynamic event sizing, custom styling, and rapid planner creation.</w:t>
            </w: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In-Browser Word Complier: </w:t>
            </w:r>
            <w:r>
              <w:t>Integrated Mammoth.js file parser that translates traditional Word .docx layouts into clean markdown within the browser, retaining complete local control.</w:t>
            </w:r>
          </w:p>
        </w:tc>
        <w:tc>
          <w:tcPr>
            <w:tcW w:type="dxa" w:w="4752"/>
            <w:tcMar>
              <w:top w:w="50" w:type="dxa"/>
              <w:bottom w:w="50" w:type="dxa"/>
              <w:left w:w="150" w:type="dxa"/>
              <w:right w:w="50" w:type="dxa"/>
            </w:tcMar>
          </w:tcPr>
          <w:p/>
          <w:p>
            <w:pPr>
              <w:spacing w:before="80" w:after="40"/>
              <w:pBdr>
                <w:bottom w:val="single" w:sz="8" w:space="4" w:color="CCCCCC"/>
              </w:pBdr>
            </w:pPr>
            <w:r>
              <w:rPr>
                <w:b/>
                <w:color w:val="4F46E5"/>
                <w:sz w:val="20"/>
              </w:rPr>
              <w:t>4. Security &amp; Deployment</w:t>
            </w:r>
          </w:p>
          <w:p>
            <w:r>
              <w:t xml:space="preserve">Designed specifically for high-security sectors (financials, healthcare, legal firms) demanding </w:t>
            </w:r>
            <w:r>
              <w:rPr>
                <w:b/>
              </w:rPr>
              <w:t>absolute data sovereignty</w:t>
            </w:r>
            <w:r>
              <w:t>:</w:t>
              <w:br/>
            </w: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VPS Self-Hosting: </w:t>
            </w:r>
            <w:r>
              <w:t>Spin up the entire decoupled architecture anywhere via standard Docker Compose containers.</w:t>
            </w: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Custom Identity: </w:t>
            </w:r>
            <w:r>
              <w:t>Custom JWT token rotation, bcrypt salting, and secure cookies. Absolutely no dependency on Clerk/Auth0.</w:t>
            </w: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Air-Gapped Gitea Option: </w:t>
            </w:r>
            <w:r>
              <w:t>Deploy a Gitea container inside your virtual private network for completely local Git-backed documents.</w:t>
            </w:r>
          </w:p>
          <w:p>
            <w:pPr>
              <w:spacing w:before="160" w:after="40"/>
              <w:pBdr>
                <w:bottom w:val="single" w:sz="8" w:space="4" w:color="CCCCCC"/>
              </w:pBdr>
            </w:pPr>
            <w:r>
              <w:rPr>
                <w:b/>
                <w:color w:val="4F46E5"/>
                <w:sz w:val="20"/>
              </w:rPr>
              <w:t>5. Decoupled Production Tech Stack</w:t>
            </w:r>
          </w:p>
          <w:p>
            <w:pPr>
              <w:spacing w:after="80"/>
            </w:pP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Frontend: </w:t>
            </w:r>
            <w:r>
              <w:t>Next.js 15 App Router, React 19, TypeScript, Tailwind CSS, Zustand, Monaco, Tiptap, Yjs.</w:t>
            </w: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Backend: </w:t>
            </w:r>
            <w:r>
              <w:t>FastAPI (Python) Async API service, SQLAlchemy 2.0, Alembic database migrations, Celery worker queue, Redis cache, JWT.</w:t>
            </w: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Data Layer: </w:t>
            </w:r>
            <w:r>
              <w:t>PostgreSQL 16 (for relational structures, boards, settings) + Gitea server repositories (for documents file storage).</w:t>
            </w:r>
          </w:p>
          <w:p>
            <w:pPr>
              <w:pStyle w:val="ListBullet"/>
              <w:spacing w:after="30"/>
              <w:ind w:left="288"/>
            </w:pPr>
            <w:r>
              <w:rPr>
                <w:b/>
                <w:color w:val="0F172A"/>
              </w:rPr>
              <w:t xml:space="preserve">Proxy/Ops: </w:t>
            </w:r>
            <w:r>
              <w:t>Caddy Reverse Proxy with automatic Let's Encrypt SSL, Docker Compose configuration cluster.</w:t>
            </w:r>
          </w:p>
          <w:p>
            <w:pPr>
              <w:spacing w:before="160" w:after="40"/>
              <w:pBdr>
                <w:bottom w:val="single" w:sz="8" w:space="4" w:color="CCCCCC"/>
              </w:pBdr>
            </w:pPr>
            <w:r>
              <w:rPr>
                <w:b/>
                <w:color w:val="4F46E5"/>
                <w:sz w:val="20"/>
              </w:rPr>
              <w:t>6. Signature-Verified Pricing Plans</w:t>
            </w:r>
          </w:p>
          <w:p>
            <w:pPr>
              <w:spacing w:after="80"/>
            </w:pPr>
            <w:r>
              <w:t xml:space="preserve">Powered by built-in, webhook-synchronized </w:t>
            </w:r>
            <w:r>
              <w:rPr>
                <w:b/>
              </w:rPr>
              <w:t>Razorpay Subscriptions</w:t>
            </w:r>
            <w:r>
              <w:t>: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1584"/>
              <w:gridCol w:w="1584"/>
              <w:gridCol w:w="1584"/>
            </w:tblGrid>
            <w:tr>
              <w:tc>
                <w:tcPr>
                  <w:tcW w:type="dxa" w:w="1584"/>
                  <w:tcMar>
                    <w:top w:w="40" w:type="dxa"/>
                    <w:bottom w:w="40" w:type="dxa"/>
                    <w:left w:w="40" w:type="dxa"/>
                    <w:right w:w="40" w:type="dxa"/>
                  </w:tcMar>
                  <w:shd w:fill="4F46E5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5"/>
                    </w:rPr>
                    <w:t>Tier</w:t>
                  </w:r>
                </w:p>
              </w:tc>
              <w:tc>
                <w:tcPr>
                  <w:tcW w:type="dxa" w:w="1584"/>
                  <w:tcMar>
                    <w:top w:w="40" w:type="dxa"/>
                    <w:bottom w:w="40" w:type="dxa"/>
                    <w:left w:w="40" w:type="dxa"/>
                    <w:right w:w="40" w:type="dxa"/>
                  </w:tcMar>
                  <w:shd w:fill="4F46E5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5"/>
                    </w:rPr>
                    <w:t>Price (mo)</w:t>
                  </w:r>
                </w:p>
              </w:tc>
              <w:tc>
                <w:tcPr>
                  <w:tcW w:type="dxa" w:w="1584"/>
                  <w:tcMar>
                    <w:top w:w="40" w:type="dxa"/>
                    <w:bottom w:w="40" w:type="dxa"/>
                    <w:left w:w="40" w:type="dxa"/>
                    <w:right w:w="40" w:type="dxa"/>
                  </w:tcMar>
                  <w:shd w:fill="4F46E5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5"/>
                    </w:rPr>
                    <w:t>Key Limit</w:t>
                  </w:r>
                </w:p>
              </w:tc>
            </w:tr>
            <w:tr>
              <w:tc>
                <w:tcPr>
                  <w:tcW w:type="dxa" w:w="1584"/>
                  <w:tcMar>
                    <w:top w:w="40" w:type="dxa"/>
                    <w:bottom w:w="40" w:type="dxa"/>
                    <w:left w:w="40" w:type="dxa"/>
                    <w:right w:w="40" w:type="dxa"/>
                  </w:tcMar>
                  <w:shd w:fill="F8FAFC"/>
                </w:tcPr>
                <w:p>
                  <w:pPr>
                    <w:jc w:val="center"/>
                  </w:pPr>
                  <w:r>
                    <w:rPr>
                      <w:b/>
                      <w:sz w:val="14"/>
                    </w:rPr>
                    <w:t>Free</w:t>
                  </w:r>
                </w:p>
              </w:tc>
              <w:tc>
                <w:tcPr>
                  <w:tcW w:type="dxa" w:w="1584"/>
                  <w:tcMar>
                    <w:top w:w="40" w:type="dxa"/>
                    <w:bottom w:w="40" w:type="dxa"/>
                    <w:left w:w="40" w:type="dxa"/>
                    <w:right w:w="40" w:type="dxa"/>
                  </w:tcMar>
                  <w:shd w:fill="F8FAFC"/>
                </w:tcPr>
                <w:p>
                  <w:pPr>
                    <w:jc w:val="center"/>
                  </w:pPr>
                  <w:r>
                    <w:rPr>
                      <w:sz w:val="14"/>
                    </w:rPr>
                    <w:t>Rs. 0</w:t>
                  </w:r>
                </w:p>
              </w:tc>
              <w:tc>
                <w:tcPr>
                  <w:tcW w:type="dxa" w:w="1584"/>
                  <w:tcMar>
                    <w:top w:w="40" w:type="dxa"/>
                    <w:bottom w:w="40" w:type="dxa"/>
                    <w:left w:w="40" w:type="dxa"/>
                    <w:right w:w="40" w:type="dxa"/>
                  </w:tcMar>
                  <w:shd w:fill="F8FAFC"/>
                </w:tcPr>
                <w:p>
                  <w:pPr>
                    <w:jc w:val="center"/>
                  </w:pPr>
                  <w:r>
                    <w:rPr>
                      <w:sz w:val="14"/>
                    </w:rPr>
                    <w:t>3 Workspaces / 50 Docs</w:t>
                  </w:r>
                </w:p>
              </w:tc>
            </w:tr>
            <w:tr>
              <w:tc>
                <w:tcPr>
                  <w:tcW w:type="dxa" w:w="1584"/>
                  <w:tcMar>
                    <w:top w:w="40" w:type="dxa"/>
                    <w:bottom w:w="40" w:type="dxa"/>
                    <w:left w:w="40" w:type="dxa"/>
                    <w:right w:w="40" w:type="dxa"/>
                  </w:tcMar>
                  <w:shd w:fill="FFFFFF"/>
                </w:tcPr>
                <w:p>
                  <w:pPr>
                    <w:jc w:val="center"/>
                  </w:pPr>
                  <w:r>
                    <w:rPr>
                      <w:b/>
                      <w:sz w:val="14"/>
                    </w:rPr>
                    <w:t>Pro</w:t>
                  </w:r>
                </w:p>
              </w:tc>
              <w:tc>
                <w:tcPr>
                  <w:tcW w:type="dxa" w:w="1584"/>
                  <w:tcMar>
                    <w:top w:w="40" w:type="dxa"/>
                    <w:bottom w:w="40" w:type="dxa"/>
                    <w:left w:w="40" w:type="dxa"/>
                    <w:right w:w="40" w:type="dxa"/>
                  </w:tcMar>
                  <w:shd w:fill="FFFFFF"/>
                </w:tcPr>
                <w:p>
                  <w:pPr>
                    <w:jc w:val="center"/>
                  </w:pPr>
                  <w:r>
                    <w:rPr>
                      <w:sz w:val="14"/>
                    </w:rPr>
                    <w:t>Rs. 499</w:t>
                  </w:r>
                </w:p>
              </w:tc>
              <w:tc>
                <w:tcPr>
                  <w:tcW w:type="dxa" w:w="1584"/>
                  <w:tcMar>
                    <w:top w:w="40" w:type="dxa"/>
                    <w:bottom w:w="40" w:type="dxa"/>
                    <w:left w:w="40" w:type="dxa"/>
                    <w:right w:w="40" w:type="dxa"/>
                  </w:tcMar>
                  <w:shd w:fill="FFFFFF"/>
                </w:tcPr>
                <w:p>
                  <w:pPr>
                    <w:jc w:val="center"/>
                  </w:pPr>
                  <w:r>
                    <w:rPr>
                      <w:sz w:val="14"/>
                    </w:rPr>
                    <w:t>Unlimited / 5 Collabs</w:t>
                  </w:r>
                </w:p>
              </w:tc>
            </w:tr>
            <w:tr>
              <w:tc>
                <w:tcPr>
                  <w:tcW w:type="dxa" w:w="1584"/>
                  <w:tcMar>
                    <w:top w:w="40" w:type="dxa"/>
                    <w:bottom w:w="40" w:type="dxa"/>
                    <w:left w:w="40" w:type="dxa"/>
                    <w:right w:w="40" w:type="dxa"/>
                  </w:tcMar>
                  <w:shd w:fill="F8FAFC"/>
                </w:tcPr>
                <w:p>
                  <w:pPr>
                    <w:jc w:val="center"/>
                  </w:pPr>
                  <w:r>
                    <w:rPr>
                      <w:b/>
                      <w:sz w:val="14"/>
                    </w:rPr>
                    <w:t>Enterprise</w:t>
                  </w:r>
                </w:p>
              </w:tc>
              <w:tc>
                <w:tcPr>
                  <w:tcW w:type="dxa" w:w="1584"/>
                  <w:tcMar>
                    <w:top w:w="40" w:type="dxa"/>
                    <w:bottom w:w="40" w:type="dxa"/>
                    <w:left w:w="40" w:type="dxa"/>
                    <w:right w:w="40" w:type="dxa"/>
                  </w:tcMar>
                  <w:shd w:fill="F8FAFC"/>
                </w:tcPr>
                <w:p>
                  <w:pPr>
                    <w:jc w:val="center"/>
                  </w:pPr>
                  <w:r>
                    <w:rPr>
                      <w:sz w:val="14"/>
                    </w:rPr>
                    <w:t>Rs. 1999</w:t>
                  </w:r>
                </w:p>
              </w:tc>
              <w:tc>
                <w:tcPr>
                  <w:tcW w:type="dxa" w:w="1584"/>
                  <w:tcMar>
                    <w:top w:w="40" w:type="dxa"/>
                    <w:bottom w:w="40" w:type="dxa"/>
                    <w:left w:w="40" w:type="dxa"/>
                    <w:right w:w="40" w:type="dxa"/>
                  </w:tcMar>
                  <w:shd w:fill="F8FAFC"/>
                </w:tcPr>
                <w:p>
                  <w:pPr>
                    <w:jc w:val="center"/>
                  </w:pPr>
                  <w:r>
                    <w:rPr>
                      <w:sz w:val="14"/>
                    </w:rPr>
                    <w:t>Gitea Instance / Unlimited</w:t>
                  </w:r>
                </w:p>
              </w:tc>
            </w:tr>
          </w:tbl>
          <w:p/>
        </w:tc>
      </w:tr>
    </w:tbl>
    <w:p>
      <w:pPr>
        <w:spacing w:before="240"/>
        <w:jc w:val="center"/>
      </w:pPr>
      <w:r>
        <w:rPr>
          <w:i/>
          <w:color w:val="475569"/>
          <w:sz w:val="15"/>
        </w:rPr>
        <w:t>© 2026 OmniDoc Platform. Engineered for absolute privacy &amp; seamless work operations.</w:t>
      </w:r>
    </w:p>
    <w:sectPr w:rsidR="00FC693F" w:rsidRPr="0006063C" w:rsidSect="0003461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40" w:before="0"/>
    </w:pPr>
    <w:rPr>
      <w:rFonts w:ascii="Arial" w:hAnsi="Arial"/>
      <w:color w:val="0F172A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